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cstheme="minorHAnsi" w:ascii="Garamond" w:hAnsi="Garamond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ascii="Garamond" w:hAnsi="Garamond" w:cstheme="minorHAnsi"/>
          <w:b/>
          <w:sz w:val="24"/>
          <w:szCs w:val="24"/>
        </w:rPr>
        <w:t>Tópicos Especiais 2: Criatividade Política (387665)</w:t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ascii="Garamond" w:hAnsi="Garamond" w:cstheme="minorHAnsi"/>
          <w:sz w:val="24"/>
          <w:szCs w:val="24"/>
        </w:rPr>
        <w:t>Créditos: 04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ascii="Garamond" w:hAnsi="Garamond" w:cstheme="minorHAnsi"/>
          <w:sz w:val="24"/>
          <w:szCs w:val="24"/>
        </w:rPr>
        <w:t>Período: Segundo Semestre de 2019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ascii="Garamond" w:hAnsi="Garamond" w:cstheme="minorHAnsi"/>
          <w:sz w:val="24"/>
          <w:szCs w:val="24"/>
        </w:rPr>
        <w:t xml:space="preserve">Horário: quarta feira, 8:00 – 11:50. </w:t>
      </w:r>
    </w:p>
    <w:p>
      <w:pPr>
        <w:pStyle w:val="Normal"/>
        <w:spacing w:lineRule="auto" w:line="240" w:before="0" w:after="0"/>
        <w:rPr/>
      </w:pPr>
      <w:r>
        <w:rPr>
          <w:rFonts w:cs="Calibri" w:ascii="Garamond" w:hAnsi="Garamond" w:cstheme="minorHAnsi"/>
          <w:sz w:val="24"/>
          <w:szCs w:val="24"/>
        </w:rPr>
        <w:t xml:space="preserve">Professora:  Rebecca Abers   </w:t>
      </w:r>
      <w:hyperlink r:id="rId2">
        <w:r>
          <w:rPr>
            <w:rStyle w:val="LinkdaInternet"/>
            <w:rFonts w:cs="Calibri" w:ascii="Garamond" w:hAnsi="Garamond" w:cstheme="minorHAnsi"/>
            <w:sz w:val="24"/>
            <w:szCs w:val="24"/>
          </w:rPr>
          <w:t>rebecca.abers@gmail.com</w:t>
        </w:r>
      </w:hyperlink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rPr>
          <w:rStyle w:val="Hccdpe"/>
          <w:rFonts w:ascii="Garamond" w:hAnsi="Garamond" w:cs="Calibri" w:cstheme="minorHAnsi"/>
          <w:sz w:val="24"/>
          <w:szCs w:val="24"/>
        </w:rPr>
      </w:pPr>
      <w:r>
        <w:rPr>
          <w:rStyle w:val="Go"/>
          <w:rFonts w:cs="Calibri" w:ascii="Garamond" w:hAnsi="Garamond" w:cstheme="minorHAnsi"/>
          <w:sz w:val="24"/>
          <w:szCs w:val="24"/>
        </w:rPr>
        <w:t>Horário de atendimento: a agendar por e-mail.</w:t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cstheme="minorHAnsi" w:ascii="Garamond" w:hAnsi="Garamond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cstheme="minorHAnsi" w:ascii="Garamond" w:hAnsi="Garamond"/>
          <w:b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ascii="Garamond" w:hAnsi="Garamond" w:cstheme="minorHAnsi"/>
          <w:b/>
          <w:sz w:val="24"/>
          <w:szCs w:val="24"/>
        </w:rPr>
        <w:t>PROGRAMA PRELIMINAR – SUJEITO A MUDANÇAS</w:t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cstheme="minorHAnsi" w:ascii="Garamond" w:hAnsi="Garamond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ascii="Garamond" w:hAnsi="Garamond" w:cstheme="minorHAnsi"/>
          <w:b/>
          <w:sz w:val="24"/>
          <w:szCs w:val="24"/>
        </w:rPr>
        <w:t>Candidatas(os) a aluna(o) especial</w:t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bCs/>
          <w:sz w:val="24"/>
          <w:szCs w:val="24"/>
        </w:rPr>
      </w:pPr>
      <w:r>
        <w:rPr>
          <w:rFonts w:cs="Calibri" w:ascii="Garamond" w:hAnsi="Garamond" w:cstheme="minorHAnsi"/>
          <w:bCs/>
          <w:sz w:val="24"/>
          <w:szCs w:val="24"/>
        </w:rPr>
        <w:t xml:space="preserve">Por favor ler o texto indicado e comparecer na primeira aula para que, caso seja selecionada(o), esteja em dia com os debates. </w:t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cstheme="minorHAnsi" w:ascii="Garamond" w:hAnsi="Garamond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ascii="Garamond" w:hAnsi="Garamond" w:cstheme="minorHAnsi"/>
          <w:b/>
          <w:sz w:val="24"/>
          <w:szCs w:val="24"/>
        </w:rPr>
        <w:t xml:space="preserve">Apresentação </w:t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cstheme="minorHAnsi" w:ascii="Garamond" w:hAnsi="Garamond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Garamond" w:hAnsi="Garamond"/>
          <w:sz w:val="24"/>
          <w:szCs w:val="24"/>
        </w:rPr>
        <w:t xml:space="preserve">Esta disciplina acompanha uma literatura emergente nas ciências sociais que rejeita antinomias dominantes sobre a ação humana: racional/calculista versus cultural/normativa; autônoma versus estruturada. Exploremos a proposta de que a ação humana é ao mesmo tempo reflexiva e rotineira, sempre situada em contextos que criam ao mesmo tempo os constrangimentos e os recursos que dão base à ação criativa. No primeiro módulo da disciplina, exploraremos as bases sociológicas da ação que sustentam esta ideia de criatividade, especialmente o pragmatismo e o interacionismo simbólico. No segundo módulo, focaremos na ação criativa </w:t>
      </w:r>
      <w:r>
        <w:rPr>
          <w:rFonts w:ascii="Garamond" w:hAnsi="Garamond"/>
          <w:i/>
          <w:iCs/>
          <w:sz w:val="24"/>
          <w:szCs w:val="24"/>
        </w:rPr>
        <w:t>coletiva,</w:t>
      </w:r>
      <w:r>
        <w:rPr>
          <w:rFonts w:ascii="Garamond" w:hAnsi="Garamond"/>
          <w:sz w:val="24"/>
          <w:szCs w:val="24"/>
        </w:rPr>
        <w:t xml:space="preserve"> a partir de teorias de movimentos sociais que exploram maneiras que atores constroem capacidades de mobilização coletiva em torno de causas a partir dos contextos em que situam. </w:t>
      </w:r>
    </w:p>
    <w:p>
      <w:pPr>
        <w:pStyle w:val="Normal"/>
        <w:spacing w:lineRule="auto" w:line="240" w:before="0" w:after="0"/>
        <w:jc w:val="both"/>
        <w:rPr>
          <w:rFonts w:ascii="Garamond" w:hAnsi="Garamond" w:cs="Calibri" w:cstheme="minorHAnsi"/>
          <w:sz w:val="24"/>
          <w:szCs w:val="24"/>
        </w:rPr>
      </w:pPr>
      <w:r>
        <w:rPr>
          <w:rFonts w:cs="Calibri" w:cstheme="minorHAnsi" w:ascii="Garamond" w:hAnsi="Garamond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Calibri" w:ascii="Garamond" w:hAnsi="Garamond" w:cstheme="minorHAnsi"/>
          <w:sz w:val="24"/>
          <w:szCs w:val="24"/>
        </w:rPr>
        <w:t xml:space="preserve">O curso será conduzido a partir de uma combinação de breves aulas expositivas e debates em sala de aula nos quais se espera a intensa participação de todos. No início de cada aula, cada aluno obrigatoriamente falará por mais ou menos três minutos sobre as leituras do dia, levantando questões para discussão. </w:t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cstheme="minorHAnsi" w:ascii="Garamond" w:hAnsi="Garamond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Calibri" w:ascii="Garamond" w:hAnsi="Garamond" w:cstheme="minorHAnsi"/>
          <w:sz w:val="24"/>
          <w:szCs w:val="24"/>
        </w:rPr>
        <w:t xml:space="preserve">A avaliação do curso será baseada na elaboração de um artigo científico sobre tema aprovado pela professora </w:t>
      </w:r>
      <w:r>
        <w:rPr>
          <w:rFonts w:cs="Calibri" w:ascii="Garamond" w:hAnsi="Garamond" w:cstheme="minorHAnsi"/>
          <w:b/>
          <w:sz w:val="24"/>
          <w:szCs w:val="24"/>
        </w:rPr>
        <w:t>e proximamente relacionado com as leituras da disciplina</w:t>
      </w:r>
      <w:r>
        <w:rPr>
          <w:rFonts w:cs="Calibri" w:ascii="Garamond" w:hAnsi="Garamond" w:cstheme="minorHAnsi"/>
          <w:sz w:val="24"/>
          <w:szCs w:val="24"/>
        </w:rPr>
        <w:t xml:space="preserve">. Poderá ser um estudo empírico que se fundamenta nas teorias apresentadas na disciplina ou um trabalho teórico, que desenvolve uma proposta conceitual relacionado a algum aspecto do tema geral da disciplina. A elaboração deste trabalho ocorrerá em quatro etapas: </w:t>
      </w:r>
    </w:p>
    <w:p>
      <w:pPr>
        <w:pStyle w:val="Normal"/>
        <w:tabs>
          <w:tab w:val="left" w:pos="1460" w:leader="none"/>
        </w:tabs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ascii="Garamond" w:hAnsi="Garamond" w:cstheme="minorHAnsi"/>
          <w:sz w:val="24"/>
          <w:szCs w:val="24"/>
        </w:rPr>
        <w:tab/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ascii="Garamond" w:hAnsi="Garamond" w:cstheme="minorHAnsi"/>
          <w:b/>
          <w:sz w:val="24"/>
          <w:szCs w:val="24"/>
          <w:u w:val="single"/>
          <w:lang w:val="pt-BR"/>
        </w:rPr>
        <w:t xml:space="preserve">18 de setembro. </w:t>
      </w:r>
      <w:r>
        <w:rPr>
          <w:rFonts w:cs="Calibri" w:ascii="Garamond" w:hAnsi="Garamond" w:cstheme="minorHAnsi"/>
          <w:sz w:val="24"/>
          <w:szCs w:val="24"/>
          <w:u w:val="single"/>
          <w:lang w:val="pt-BR"/>
        </w:rPr>
        <w:t xml:space="preserve"> Proposta inicial</w:t>
      </w:r>
      <w:r>
        <w:rPr>
          <w:rFonts w:cs="Calibri" w:ascii="Garamond" w:hAnsi="Garamond" w:cstheme="minorHAnsi"/>
          <w:sz w:val="24"/>
          <w:szCs w:val="24"/>
          <w:lang w:val="pt-BR"/>
        </w:rPr>
        <w:t xml:space="preserve"> de no máximo 800 palavras apresentando o tema do artigo. Não há pontuação para esta tarefa, mas a sua não entrega no prazo implica na impossibilidade de continuar na disciplina. A proposta será discutida com e aprovada pela professora. Quaisquer mudanças posteriores no tema devem ser aprovadas pela professora. </w:t>
      </w:r>
    </w:p>
    <w:p>
      <w:pPr>
        <w:pStyle w:val="ListParagraph"/>
        <w:spacing w:lineRule="auto" w:line="240" w:before="0" w:after="0"/>
        <w:contextualSpacing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cstheme="minorHAnsi" w:ascii="Garamond" w:hAnsi="Garamond"/>
          <w:sz w:val="24"/>
          <w:szCs w:val="24"/>
          <w:lang w:val="pt-BR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ascii="Garamond" w:hAnsi="Garamond" w:cstheme="minorHAnsi"/>
          <w:b/>
          <w:sz w:val="24"/>
          <w:szCs w:val="24"/>
          <w:u w:val="single"/>
          <w:lang w:val="pt-BR"/>
        </w:rPr>
        <w:t>6 de novembro</w:t>
      </w:r>
      <w:r>
        <w:rPr>
          <w:rFonts w:cs="Calibri" w:ascii="Garamond" w:hAnsi="Garamond" w:cstheme="minorHAnsi"/>
          <w:sz w:val="24"/>
          <w:szCs w:val="24"/>
          <w:u w:val="single"/>
          <w:lang w:val="pt-BR"/>
        </w:rPr>
        <w:t>. Resumo do artigo</w:t>
      </w:r>
      <w:r>
        <w:rPr>
          <w:rFonts w:cs="Calibri" w:ascii="Garamond" w:hAnsi="Garamond" w:cstheme="minorHAnsi"/>
          <w:sz w:val="24"/>
          <w:szCs w:val="24"/>
          <w:lang w:val="pt-BR"/>
        </w:rPr>
        <w:t xml:space="preserve"> de aproximadamente 1600 palavras que apresenta um esboço do argumento central do artigo. Este texto deve fazer referência de pelo menos 3 autores discutidos na disciplina. Vale 30% da nota final. </w:t>
      </w:r>
    </w:p>
    <w:p>
      <w:pPr>
        <w:pStyle w:val="ListParagraph"/>
        <w:spacing w:lineRule="auto" w:line="240" w:before="0" w:after="0"/>
        <w:contextualSpacing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cstheme="minorHAnsi" w:ascii="Garamond" w:hAnsi="Garamond"/>
          <w:sz w:val="24"/>
          <w:szCs w:val="24"/>
          <w:lang w:val="pt-BR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ascii="Garamond" w:hAnsi="Garamond" w:cstheme="minorHAnsi"/>
          <w:b/>
          <w:sz w:val="24"/>
          <w:szCs w:val="24"/>
          <w:u w:val="single"/>
          <w:lang w:val="pt-BR"/>
        </w:rPr>
        <w:t>20 e 27 de novembro.</w:t>
      </w:r>
      <w:r>
        <w:rPr>
          <w:rFonts w:cs="Calibri" w:ascii="Garamond" w:hAnsi="Garamond" w:cstheme="minorHAnsi"/>
          <w:sz w:val="24"/>
          <w:szCs w:val="24"/>
          <w:u w:val="single"/>
          <w:lang w:val="pt-BR"/>
        </w:rPr>
        <w:t xml:space="preserve"> Apresentação em sala de aula </w:t>
      </w:r>
      <w:r>
        <w:rPr>
          <w:rFonts w:cs="Calibri" w:ascii="Garamond" w:hAnsi="Garamond" w:cstheme="minorHAnsi"/>
          <w:sz w:val="24"/>
          <w:szCs w:val="24"/>
          <w:lang w:val="pt-BR"/>
        </w:rPr>
        <w:t xml:space="preserve">do artigo. Vale 10% da nota final. </w:t>
      </w:r>
      <w:r>
        <w:rPr>
          <w:rFonts w:cs="Calibri" w:ascii="Garamond" w:hAnsi="Garamond" w:cstheme="minorHAnsi"/>
          <w:sz w:val="24"/>
          <w:szCs w:val="24"/>
          <w:u w:val="single"/>
          <w:lang w:val="pt-BR"/>
        </w:rPr>
        <w:t xml:space="preserve"> </w:t>
      </w:r>
    </w:p>
    <w:p>
      <w:pPr>
        <w:pStyle w:val="ListParagraph"/>
        <w:spacing w:lineRule="auto" w:line="240" w:before="0" w:after="0"/>
        <w:contextualSpacing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cstheme="minorHAnsi" w:ascii="Garamond" w:hAnsi="Garamond"/>
          <w:sz w:val="24"/>
          <w:szCs w:val="24"/>
          <w:lang w:val="pt-BR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ascii="Garamond" w:hAnsi="Garamond" w:cstheme="minorHAnsi"/>
          <w:b/>
          <w:sz w:val="24"/>
          <w:szCs w:val="24"/>
          <w:u w:val="single"/>
          <w:lang w:val="pt-BR"/>
        </w:rPr>
        <w:t>4 de dezembro.</w:t>
      </w:r>
      <w:r>
        <w:rPr>
          <w:rFonts w:cs="Calibri" w:ascii="Garamond" w:hAnsi="Garamond" w:cstheme="minorHAnsi"/>
          <w:sz w:val="24"/>
          <w:szCs w:val="24"/>
          <w:u w:val="single"/>
          <w:lang w:val="pt-BR"/>
        </w:rPr>
        <w:t xml:space="preserve"> Artigo científico </w:t>
      </w:r>
      <w:r>
        <w:rPr>
          <w:rFonts w:cs="Calibri" w:ascii="Garamond" w:hAnsi="Garamond" w:cstheme="minorHAnsi"/>
          <w:sz w:val="24"/>
          <w:szCs w:val="24"/>
          <w:lang w:val="pt-BR"/>
        </w:rPr>
        <w:t xml:space="preserve">de no máximo 9,000 palavras. Vale 60% da nota final. </w:t>
      </w:r>
    </w:p>
    <w:p>
      <w:pPr>
        <w:pStyle w:val="ListParagraph"/>
        <w:spacing w:lineRule="auto" w:line="240" w:before="0" w:after="0"/>
        <w:ind w:left="0" w:hanging="0"/>
        <w:rPr>
          <w:rFonts w:ascii="Garamond" w:hAnsi="Garamond" w:cs="Calibri" w:cstheme="minorHAnsi"/>
          <w:sz w:val="24"/>
          <w:szCs w:val="24"/>
          <w:lang w:val="pt-BR"/>
        </w:rPr>
      </w:pPr>
      <w:r>
        <w:rPr>
          <w:rFonts w:cs="Calibri" w:cstheme="minorHAnsi" w:ascii="Garamond" w:hAnsi="Garamond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jc w:val="both"/>
        <w:rPr>
          <w:rFonts w:ascii="Garamond" w:hAnsi="Garamond" w:cs="Calibri" w:cstheme="minorHAnsi"/>
          <w:sz w:val="24"/>
          <w:szCs w:val="24"/>
        </w:rPr>
      </w:pPr>
      <w:r>
        <w:rPr>
          <w:rFonts w:cs="Calibri" w:ascii="Garamond" w:hAnsi="Garamond" w:cstheme="minorHAnsi"/>
          <w:sz w:val="24"/>
          <w:szCs w:val="24"/>
        </w:rPr>
        <w:t>Todos os trabalhos escritos entregues deverão respeitar a autoria das fontes, tomando o cuidado de citar corretamente os autores utilizados, da forma mais precisa possível. Fraude na elaboração dos materiais escritos será punida com a reprovação na disciplina e o encaminhamento a instâncias universitárias superiores, para a aplicação de outras sanções cabíveis (suspensão, expulsão etc.).</w:t>
      </w:r>
    </w:p>
    <w:p>
      <w:pPr>
        <w:pStyle w:val="Normal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cstheme="minorHAnsi" w:ascii="Garamond" w:hAnsi="Garamond"/>
          <w:b/>
          <w:sz w:val="24"/>
          <w:szCs w:val="24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ascii="Garamond" w:hAnsi="Garamond" w:cstheme="minorHAnsi"/>
          <w:b/>
          <w:sz w:val="24"/>
          <w:szCs w:val="24"/>
        </w:rPr>
        <w:t xml:space="preserve">Cronograma e Bibliografia </w:t>
      </w:r>
    </w:p>
    <w:tbl>
      <w:tblPr>
        <w:tblStyle w:val="Tabelacomgrade"/>
        <w:tblpPr w:bottomFromText="0" w:horzAnchor="margin" w:leftFromText="141" w:rightFromText="141" w:tblpX="0" w:tblpXSpec="right" w:tblpY="151" w:topFromText="0" w:vertAnchor="text"/>
        <w:tblW w:w="10774" w:type="dxa"/>
        <w:jc w:val="right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9849"/>
        <w:gridCol w:w="74"/>
      </w:tblGrid>
      <w:tr>
        <w:trPr/>
        <w:tc>
          <w:tcPr>
            <w:tcW w:w="10700" w:type="dxa"/>
            <w:gridSpan w:val="2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pt-BR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  <w:lang w:val="pt-BR"/>
              </w:rPr>
              <w:t xml:space="preserve">Introdução 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14</w:t>
            </w:r>
          </w:p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agosto</w:t>
            </w:r>
          </w:p>
        </w:tc>
        <w:tc>
          <w:tcPr>
            <w:tcW w:w="9849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pt-BR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  <w:lang w:val="pt-BR"/>
              </w:rPr>
              <w:t xml:space="preserve">Aula 1. Apresentação da disciplina </w:t>
            </w:r>
          </w:p>
          <w:p>
            <w:pPr>
              <w:pStyle w:val="ListParagraph"/>
              <w:spacing w:before="0" w:after="0"/>
              <w:ind w:left="360" w:hanging="0"/>
              <w:contextualSpacing/>
              <w:rPr>
                <w:rFonts w:ascii="Garamond" w:hAnsi="Garamond"/>
                <w:sz w:val="24"/>
                <w:szCs w:val="24"/>
                <w:lang w:val="pt-BR"/>
              </w:rPr>
            </w:pPr>
            <w:r>
              <w:rPr>
                <w:rFonts w:ascii="Garamond" w:hAnsi="Garamond"/>
                <w:sz w:val="24"/>
                <w:szCs w:val="24"/>
                <w:lang w:val="pt-BR"/>
              </w:rPr>
              <w:t xml:space="preserve">Hirschman, Albert. </w:t>
            </w:r>
            <w:r>
              <w:rPr>
                <w:rFonts w:ascii="Garamond" w:hAnsi="Garamond"/>
                <w:sz w:val="24"/>
                <w:szCs w:val="24"/>
              </w:rPr>
              <w:t xml:space="preserve">O, 2014[1971], “A Passion for the Possible”, In: Adelman, Jeremy, org. </w:t>
            </w:r>
            <w:r>
              <w:rPr>
                <w:rFonts w:ascii="Garamond" w:hAnsi="Garamond"/>
                <w:i/>
                <w:sz w:val="24"/>
                <w:szCs w:val="24"/>
                <w:lang w:val="pt-BR"/>
              </w:rPr>
              <w:t>The Essential Hirschman</w:t>
            </w:r>
            <w:r>
              <w:rPr>
                <w:rFonts w:ascii="Garamond" w:hAnsi="Garamond"/>
                <w:sz w:val="24"/>
                <w:szCs w:val="24"/>
                <w:lang w:val="pt-BR"/>
              </w:rPr>
              <w:t xml:space="preserve">, Princeton, Princeton University Press, 21-33. 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21 agosto</w:t>
            </w:r>
          </w:p>
        </w:tc>
        <w:tc>
          <w:tcPr>
            <w:tcW w:w="9849" w:type="dxa"/>
            <w:tcBorders/>
            <w:shd w:fill="auto" w:val="clear"/>
          </w:tcPr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Aula 2. Debates Recentes sobre Agência</w:t>
            </w: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 </w:t>
            </w: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na Ciência Política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Mahoney, James, e Kathleen Ann Thelen. “A Theory of Gradual Institutional Change”. In James Mahoney e Kathleen Ann Thelen</w:t>
            </w:r>
            <w:r>
              <w:rPr>
                <w:rFonts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(orgs), </w:t>
            </w:r>
            <w:r>
              <w:rPr>
                <w:rFonts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Explaining Institutional Change: Ambiguity, Agency, and Power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. Cambridge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 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; New York: Cambridge University Press, 2010, 1–37.</w:t>
            </w:r>
          </w:p>
          <w:p>
            <w:pPr>
              <w:pStyle w:val="Normal"/>
              <w:suppressLineNumbers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Hay, Colin, 2006. “Constructivist Institutionalism”. Rhodes, R.A.W., Sarah A. Binder e Bert A. Rockman.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  <w:lang w:val="en-US"/>
              </w:rPr>
              <w:t>The Oxford Handbook of Political Institutions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. Oxford: Oxford University Press, 56-74  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Berk, Gerald., and Dennis. Galvan. 2009. “How People Experience and Change Institutions: A Field Guide to Creative Syncretism.” </w:t>
            </w:r>
            <w:r>
              <w:rPr>
                <w:rFonts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Theory and Society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 38 (6): 543–80.</w:t>
            </w:r>
          </w:p>
          <w:p>
            <w:pPr>
              <w:pStyle w:val="Normal"/>
              <w:suppressLineNumbers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sz w:val="24"/>
                <w:szCs w:val="24"/>
                <w:lang w:val="en-US"/>
              </w:rPr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color w:val="222222"/>
                <w:sz w:val="24"/>
                <w:szCs w:val="24"/>
                <w:highlight w:val="white"/>
                <w:u w:val="single"/>
                <w:lang w:val="en-GB"/>
              </w:rPr>
            </w:pPr>
            <w:r>
              <w:rPr>
                <w:rFonts w:cs="Calibri" w:ascii="Garamond" w:hAnsi="Garamond" w:cstheme="minorHAnsi"/>
                <w:color w:val="222222"/>
                <w:sz w:val="24"/>
                <w:szCs w:val="24"/>
                <w:u w:val="single"/>
                <w:shd w:fill="FFFFFF" w:val="clear"/>
                <w:lang w:val="en-GB"/>
              </w:rPr>
              <w:t>Leitura complementar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Berk, Gerald; Galvan, Dennis C. &amp; Victoria Hattam “Introduction: Beyond Dualist Social Science: The Mangle of Order and Change” IN: Berk, Gerald; Galvan, Dennis C. &amp; Victoria Hattam, orgs. 2013. 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</w:rPr>
              <w:t>Political Creativity: Reconfiguring Order and Change</w:t>
            </w:r>
            <w:r>
              <w:rPr>
                <w:rFonts w:cs="Calibri" w:ascii="Garamond" w:hAnsi="Garamond" w:cstheme="minorHAnsi"/>
                <w:sz w:val="24"/>
                <w:szCs w:val="24"/>
              </w:rPr>
              <w:t>, Philadelphia, University of Philadelphia Press, 1-28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Berk, Geral &amp; Galvan, Denn is C., “Chapter 1. Processes of Creative Syncretism: Experiential Origins of Institutional Order and Change,” IN: Berk, Gerald; Galvan, Dennis C. &amp; Victoria Hattam, orgs. 2013. 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</w:rPr>
              <w:t>Political Creativity: Reconfiguring Order and Change</w:t>
            </w: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, Philadelphia, University of Philadelphia Press, 29-54. </w:t>
            </w:r>
          </w:p>
          <w:p>
            <w:pPr>
              <w:pStyle w:val="Normal"/>
              <w:suppressLineNumbers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GB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Schmidt, Vivian, 2008. “Discursive Institutionalism: The Explanatory Power of Ideas and Discourse”.  </w:t>
            </w:r>
            <w:r>
              <w:rPr>
                <w:rFonts w:cs="Calibri" w:ascii="Garamond" w:hAnsi="Garamond" w:cstheme="minorHAnsi"/>
                <w:i/>
                <w:iCs/>
                <w:sz w:val="24"/>
                <w:szCs w:val="24"/>
                <w:lang w:val="en-GB"/>
              </w:rPr>
              <w:t>Annual Review of Political Science</w:t>
            </w:r>
            <w:r>
              <w:rPr>
                <w:rFonts w:cs="Calibri" w:ascii="Garamond" w:hAnsi="Garamond" w:cstheme="minorHAnsi"/>
                <w:sz w:val="24"/>
                <w:szCs w:val="24"/>
                <w:lang w:val="en-GB"/>
              </w:rPr>
              <w:t>, 11:303-326.</w:t>
            </w:r>
          </w:p>
          <w:p>
            <w:pPr>
              <w:pStyle w:val="Normal"/>
              <w:suppressLineNumbers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GB"/>
              </w:rPr>
            </w:pPr>
            <w:r>
              <w:rPr>
                <w:rFonts w:cs="Calibri" w:cstheme="minorHAnsi" w:ascii="Garamond" w:hAnsi="Garamond"/>
                <w:sz w:val="24"/>
                <w:szCs w:val="24"/>
                <w:lang w:val="en-GB"/>
              </w:rPr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0774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 xml:space="preserve">Módulo 1:  Teorias sociais de ação </w:t>
            </w:r>
          </w:p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28 agosto</w:t>
            </w:r>
          </w:p>
        </w:tc>
        <w:tc>
          <w:tcPr>
            <w:tcW w:w="9923" w:type="dxa"/>
            <w:gridSpan w:val="2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b/>
                <w:b/>
                <w:iCs/>
                <w:sz w:val="24"/>
                <w:szCs w:val="24"/>
                <w:lang w:val="pt-BR"/>
              </w:rPr>
            </w:pPr>
            <w:r>
              <w:rPr>
                <w:rFonts w:eastAsia="Times New Roman" w:cs="Calibri" w:ascii="Garamond" w:hAnsi="Garamond" w:cstheme="minorHAnsi"/>
                <w:b/>
                <w:iCs/>
                <w:sz w:val="24"/>
                <w:szCs w:val="24"/>
                <w:lang w:val="pt-BR"/>
              </w:rPr>
              <w:t xml:space="preserve">Aula 3. Agência em estruturas 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iCs/>
                <w:sz w:val="24"/>
                <w:szCs w:val="24"/>
                <w:lang w:val="pt-BR"/>
              </w:rPr>
            </w:pPr>
            <w:r>
              <w:rPr>
                <w:rFonts w:eastAsia="Times New Roman" w:cs="Calibri" w:ascii="Garamond" w:hAnsi="Garamond" w:cstheme="minorHAnsi"/>
                <w:iCs/>
                <w:sz w:val="24"/>
                <w:szCs w:val="24"/>
                <w:lang w:val="pt-BR"/>
              </w:rPr>
              <w:t xml:space="preserve">Sewell Jr, William H. 1992. </w:t>
            </w:r>
            <w:r>
              <w:rPr>
                <w:rFonts w:eastAsia="Times New Roman" w:cs="Calibri" w:ascii="Garamond" w:hAnsi="Garamond" w:cstheme="minorHAnsi"/>
                <w:iCs/>
                <w:sz w:val="24"/>
                <w:szCs w:val="24"/>
              </w:rPr>
              <w:t xml:space="preserve">“A Theory of Structure: Duality, Agency, and Transformation.” </w:t>
            </w:r>
            <w:r>
              <w:rPr>
                <w:rFonts w:eastAsia="Times New Roman" w:cs="Calibri" w:ascii="Garamond" w:hAnsi="Garamond" w:cstheme="minorHAnsi"/>
                <w:iCs/>
                <w:sz w:val="24"/>
                <w:szCs w:val="24"/>
                <w:lang w:val="pt-BR"/>
              </w:rPr>
              <w:t>American Journal of Sociology, 1–29.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/>
                <w:sz w:val="24"/>
                <w:szCs w:val="24"/>
                <w:lang w:val="pt-BR"/>
              </w:rPr>
            </w:pPr>
            <w:r>
              <w:rPr>
                <w:rFonts w:ascii="Garamond" w:hAnsi="Garamond"/>
                <w:sz w:val="24"/>
                <w:szCs w:val="24"/>
                <w:lang w:val="pt-BR"/>
              </w:rPr>
              <w:t xml:space="preserve">Giddens, Anthony. 2003 </w:t>
            </w:r>
            <w:r>
              <w:rPr>
                <w:rFonts w:ascii="Garamond" w:hAnsi="Garamond"/>
                <w:i/>
                <w:iCs/>
                <w:sz w:val="24"/>
                <w:szCs w:val="24"/>
                <w:lang w:val="pt-BR"/>
              </w:rPr>
              <w:t>A Constituição Da Sociedade</w:t>
            </w:r>
            <w:r>
              <w:rPr>
                <w:rFonts w:ascii="Garamond" w:hAnsi="Garamond"/>
                <w:sz w:val="24"/>
                <w:szCs w:val="24"/>
                <w:lang w:val="pt-BR"/>
              </w:rPr>
              <w:t>. São Paulo: Martins Fontes, 1-32 (seções iniciais do capítulo, “Elementos da teoria da estruturação)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pt-BR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pt-BR"/>
              </w:rPr>
              <w:t xml:space="preserve"> </w:t>
            </w:r>
            <w:r>
              <w:rPr>
                <w:rFonts w:cs="Calibri" w:ascii="Garamond" w:hAnsi="Garamond" w:cstheme="minorHAnsi"/>
                <w:sz w:val="24"/>
                <w:szCs w:val="24"/>
                <w:lang w:val="pt-BR"/>
              </w:rPr>
              <w:t xml:space="preserve">Bourdieu, Pierre, “Estruturas, Habitus e Práticas”. Esboço de uma teoria da prática, in: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  <w:lang w:val="pt-BR"/>
              </w:rPr>
              <w:t>Sociologia</w:t>
            </w:r>
            <w:r>
              <w:rPr>
                <w:rFonts w:cs="Calibri" w:ascii="Garamond" w:hAnsi="Garamond" w:cstheme="minorHAnsi"/>
                <w:sz w:val="24"/>
                <w:szCs w:val="24"/>
                <w:lang w:val="pt-BR"/>
              </w:rPr>
              <w:t>, Renato Ortiz Org. São Paulo, Ática, 60-81</w:t>
            </w:r>
          </w:p>
          <w:p>
            <w:pPr>
              <w:pStyle w:val="Normal"/>
              <w:spacing w:before="0" w:after="0"/>
              <w:ind w:hanging="72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4 set</w:t>
            </w:r>
          </w:p>
        </w:tc>
        <w:tc>
          <w:tcPr>
            <w:tcW w:w="9923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  <w:lang w:val="en-US"/>
              </w:rPr>
              <w:t xml:space="preserve">Aula 4: Pragmatismo 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Joas, Hans, 1996.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</w:rPr>
              <w:t>The Creativity of Action,</w:t>
            </w: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 Chicago, University of Chicago Press,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Do capítulo 2: Seção 2.5, “Intelligence and Reconstruction”, 126-144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Do capítulo 3, seção </w:t>
            </w:r>
            <w:r>
              <w:rPr>
                <w:rFonts w:cs="Calibri" w:ascii="Garamond" w:hAnsi="Garamond" w:cstheme="minorHAnsi"/>
                <w:sz w:val="24"/>
                <w:szCs w:val="24"/>
                <w:lang w:val="pt-BR"/>
              </w:rPr>
              <w:t>introdutória</w:t>
            </w: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 e “ 3.1 “A Non-Telelogical Interpretation of the Intentionality of Action”, 127-167 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Allen, John. 2008. “Pragmatism and Power, or the Power to Make a Difference in a Radically Contingent World.”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Geoforum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 39 (4): 1613–1624.</w:t>
            </w:r>
          </w:p>
          <w:p>
            <w:pPr>
              <w:pStyle w:val="Normal"/>
              <w:spacing w:before="0" w:after="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sz w:val="24"/>
                <w:szCs w:val="24"/>
                <w:lang w:val="en-US"/>
              </w:rPr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u w:val="single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u w:val="single"/>
              </w:rPr>
              <w:t>Leitura Complementar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Dewey, John, 1921. “Habits and Will”, </w:t>
            </w:r>
            <w:r>
              <w:rPr>
                <w:rFonts w:eastAsia="Times New Roman" w:cs="Calibri" w:ascii="Garamond" w:hAnsi="Garamond" w:cstheme="minorHAnsi"/>
                <w:i/>
                <w:sz w:val="24"/>
                <w:szCs w:val="24"/>
                <w:lang w:val="en-US"/>
              </w:rPr>
              <w:t>Human Nature and Conduct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. Excerpt. 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Ansell, Chris, 2011. ‘Problem Solving”, </w:t>
            </w:r>
            <w:r>
              <w:rPr>
                <w:rFonts w:eastAsia="Times New Roman" w:cs="Calibri" w:ascii="Garamond" w:hAnsi="Garamond" w:cstheme="minorHAnsi"/>
                <w:i/>
                <w:sz w:val="24"/>
                <w:szCs w:val="24"/>
                <w:lang w:val="en-US"/>
              </w:rPr>
              <w:t>Pragmatist Democracy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: Evolutionary Learning as Public Philosophy, </w:t>
            </w:r>
            <w:r>
              <w:rPr>
                <w:rFonts w:eastAsia="Times New Roman" w:cs="Calibri" w:ascii="Garamond" w:hAnsi="Garamond" w:cstheme="minorHAnsi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84-103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Cefai, Daniel. “Públicos, problemas públicos, arenas públicas: O que nos ensina o pragmatismo (Parte 2).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Novos estudos CEBRAP [online]. 2017, 36(2):129-142. 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Emirbayer, Mustafa, and Ann Mische.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GB"/>
              </w:rPr>
              <w:t xml:space="preserve">1998. “What Is Agency?”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GB"/>
              </w:rPr>
              <w:t>American Journal of Sociology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GB"/>
              </w:rPr>
              <w:t xml:space="preserve"> 103 (4): 962–1023. 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iCs/>
                <w:sz w:val="24"/>
                <w:szCs w:val="24"/>
                <w:lang w:val="pt-BR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Abers, Rebecca; Keck, Margaret.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pt-BR"/>
              </w:rPr>
              <w:t xml:space="preserve">2017. “Autoridade prática, construção institucional e entrelaçamento.” </w:t>
            </w:r>
            <w:r>
              <w:rPr>
                <w:rFonts w:eastAsia="Times New Roman" w:cs="Calibri" w:ascii="Garamond" w:hAnsi="Garamond" w:cstheme="minorHAnsi"/>
                <w:i/>
                <w:sz w:val="24"/>
                <w:szCs w:val="24"/>
                <w:lang w:val="pt-BR"/>
              </w:rPr>
              <w:t>Autoridade prática: ação criativa e mudança institucional na política das águas do Brasil</w:t>
            </w:r>
            <w:r>
              <w:rPr>
                <w:rFonts w:eastAsia="Times New Roman" w:cs="Calibri" w:ascii="Garamond" w:hAnsi="Garamond" w:cstheme="minorHAnsi"/>
                <w:iCs/>
                <w:sz w:val="24"/>
                <w:szCs w:val="24"/>
                <w:lang w:val="pt-BR"/>
              </w:rPr>
              <w:t>, São Paulo, Fiocruz, 29-62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pt-BR"/>
              </w:rPr>
            </w:pPr>
            <w:r>
              <w:rPr>
                <w:rFonts w:cs="Calibri" w:cstheme="minorHAnsi" w:ascii="Garamond" w:hAnsi="Garamond"/>
                <w:sz w:val="24"/>
                <w:szCs w:val="24"/>
                <w:lang w:val="pt-BR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11 set</w:t>
            </w:r>
          </w:p>
        </w:tc>
        <w:tc>
          <w:tcPr>
            <w:tcW w:w="99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Não haverá aula – professora em evento científico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18 set</w:t>
            </w:r>
          </w:p>
        </w:tc>
        <w:tc>
          <w:tcPr>
            <w:tcW w:w="9923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*****Entregar proposta de artigo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 xml:space="preserve">Aula 5. </w:t>
            </w:r>
            <w:r>
              <w:rPr>
                <w:rFonts w:cs="Calibri" w:ascii="Garamond" w:hAnsi="Garamond" w:cstheme="minorHAnsi"/>
                <w:b/>
                <w:sz w:val="24"/>
                <w:szCs w:val="24"/>
                <w:lang w:val="en-US"/>
              </w:rPr>
              <w:t xml:space="preserve">Interacionismo simbólico 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Blumer, Herbert, 1969.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  <w:lang w:val="en-US"/>
              </w:rPr>
              <w:t>Symbolic Interactionism: Perspective and Method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, Englewood Cliffs, NJ, Prentice-Hall, 1-21 (primeira parte do Cap. 1, “The Methodological Position of Symbolic Interactionism” )</w:t>
            </w:r>
          </w:p>
          <w:p>
            <w:pPr>
              <w:pStyle w:val="ListParagraph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 xml:space="preserve">Strauss, Anselm Leonard. “Basic assumptions of a Theory of Action”,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</w:rPr>
              <w:t>Continual Permutations of Action</w:t>
            </w:r>
            <w:r>
              <w:rPr>
                <w:rFonts w:cs="Calibri" w:ascii="Garamond" w:hAnsi="Garamond" w:cstheme="minorHAnsi"/>
                <w:sz w:val="24"/>
                <w:szCs w:val="24"/>
              </w:rPr>
              <w:t>. AldineTransaction, 2008, 19-46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i/>
                <w:i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Hallett, Tim; Ventresca, Marc J. 2006. “Inhabited institutions: Social interactions and organizational forms in Gouldner’s </w:t>
            </w:r>
            <w:r>
              <w:rPr>
                <w:rFonts w:cs="Calibri" w:ascii="Garamond" w:hAnsi="Garamond" w:cstheme="minorHAnsi"/>
                <w:iCs/>
                <w:sz w:val="24"/>
                <w:szCs w:val="24"/>
                <w:lang w:val="en-US"/>
              </w:rPr>
              <w:t>Patterns of Industrial Bureaucracy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”.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  <w:lang w:val="en-US"/>
              </w:rPr>
              <w:t xml:space="preserve">Theory and Society, </w:t>
            </w:r>
            <w:r>
              <w:rPr>
                <w:rFonts w:cs="Calibri" w:ascii="Garamond" w:hAnsi="Garamond" w:cstheme="minorHAnsi"/>
                <w:iCs/>
                <w:sz w:val="24"/>
                <w:szCs w:val="24"/>
                <w:lang w:val="en-US"/>
              </w:rPr>
              <w:t>35: 213-236</w:t>
            </w:r>
            <w:r>
              <w:rPr>
                <w:rFonts w:cs="Calibri" w:ascii="Garamond" w:hAnsi="Garamond" w:cstheme="minorHAnsi"/>
                <w:i/>
                <w:sz w:val="24"/>
                <w:szCs w:val="24"/>
                <w:lang w:val="en-US"/>
              </w:rPr>
              <w:t xml:space="preserve">. 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i/>
                <w:i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i/>
                <w:sz w:val="24"/>
                <w:szCs w:val="24"/>
                <w:lang w:val="en-US"/>
              </w:rPr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u w:val="single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u w:val="single"/>
                <w:lang w:val="en-US"/>
              </w:rPr>
              <w:t>Leitura complementar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Bevir, Mark; Rhodes, R.A. W. 2010. “Chapter 4: Interpretation”. </w:t>
            </w:r>
            <w:r>
              <w:rPr>
                <w:rFonts w:cs="Calibri" w:ascii="Garamond" w:hAnsi="Garamond" w:cstheme="minorHAnsi"/>
                <w:i/>
                <w:sz w:val="24"/>
                <w:szCs w:val="24"/>
                <w:lang w:val="en-US"/>
              </w:rPr>
              <w:t xml:space="preserve">The State as Cultural Practice. 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Oxford University Press, 63-79.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 xml:space="preserve">Emirbayer, Mustafa. “Manifesto for a Relational Sociology.”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/>
              </w:rPr>
              <w:t>American Journal of Sociology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 xml:space="preserve"> 103, no. 2 (1997): 281–317.</w:t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Latour, Bruno. 1986. “The Powers of Association.” In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Power, Action and Belief: A New Sociology of Knowledge?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, edited by John Law, London: Routledge &amp; Kegan Paul, 264–280.</w:t>
            </w:r>
          </w:p>
          <w:p>
            <w:pPr>
              <w:pStyle w:val="Normal"/>
              <w:spacing w:before="0" w:after="0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</w:r>
          </w:p>
          <w:p>
            <w:pPr>
              <w:pStyle w:val="Normal"/>
              <w:spacing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25 set</w:t>
            </w:r>
          </w:p>
        </w:tc>
        <w:tc>
          <w:tcPr>
            <w:tcW w:w="99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 xml:space="preserve">Aula 6. Pragmatismo francês. </w:t>
            </w:r>
          </w:p>
          <w:p>
            <w:pPr>
              <w:pStyle w:val="Normal"/>
              <w:spacing w:lineRule="auto" w:line="240" w:before="0" w:after="0"/>
              <w:ind w:left="480" w:hanging="48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Boltanski, Luc, and Laurent Thévenot. 1999. “The Sociology of Critical Capacity.”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European Journal of Social Theory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 2 (3): 359–77..</w:t>
            </w:r>
          </w:p>
          <w:p>
            <w:pPr>
              <w:pStyle w:val="Normal"/>
              <w:spacing w:lineRule="auto" w:line="240" w:before="0" w:after="0"/>
              <w:ind w:left="480" w:hanging="48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Zittoun, P. 2014.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The Political Process of Policymaking: A Pragmatic Approach to Public Policy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. Springer, Capítulos 2 e 3.</w:t>
            </w:r>
          </w:p>
          <w:p>
            <w:pPr>
              <w:pStyle w:val="Normal"/>
              <w:spacing w:lineRule="auto" w:line="240" w:before="0" w:after="0"/>
              <w:ind w:left="480" w:hanging="480"/>
              <w:jc w:val="center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cstheme="minorHAnsi" w:ascii="Garamond" w:hAnsi="Garamond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  <w:u w:val="single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u w:val="single"/>
                <w:lang w:val="en-US"/>
              </w:rPr>
              <w:t>Leitura complementar</w:t>
            </w:r>
          </w:p>
          <w:p>
            <w:pPr>
              <w:pStyle w:val="Normal"/>
              <w:spacing w:lineRule="auto" w:line="240" w:before="0" w:after="0"/>
              <w:ind w:left="480" w:hanging="48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Patriotta, Gerardo, Jean-Pascal Gond, and Friederike Schultz. 2011. “Maintaining Legitimacy: Controversies, Orders of Worth, and Public Justifications.”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Journal of Management Studies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 48 (8): 1804–1836.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Callon, Michel, Pierre Lascoumes, and Yannick Barthe. 2011. “Hybrid Forums,”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Acting in an Uncertain World: An Essay on Technical Democracy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. MIT Press, pp. 13-36.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Barthe,Y; Rémy. C; Trom, D.; Linhardt, D; Blic, D.; Heurtin, J.P..; Lagneau, E., Bellaing, C.M.; Lemieux, C, 2016.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“Sociologia pragmática: guia do usuário.”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</w:rPr>
              <w:t>Sociologias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>, Porto Alegre, 18(41): 84-129.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Correa, Diogo Silva; Dias, Rodrigo de Castro, 2016. “A Crítica e os Momentos Críticos: De justificação e a Guinada Pragmática na Sociologia Francesa.”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</w:rPr>
              <w:t>Mana,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 Rio de Janeiro ,  22(1): 67-99.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tbl>
      <w:tblPr>
        <w:tblStyle w:val="Tabelacomgrade"/>
        <w:tblpPr w:bottomFromText="0" w:horzAnchor="margin" w:leftFromText="141" w:rightFromText="141" w:tblpX="0" w:tblpXSpec="right" w:tblpY="151" w:topFromText="0" w:vertAnchor="text"/>
        <w:tblW w:w="10774" w:type="dxa"/>
        <w:jc w:val="right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16"/>
        <w:gridCol w:w="35"/>
        <w:gridCol w:w="9922"/>
      </w:tblGrid>
      <w:tr>
        <w:trPr/>
        <w:tc>
          <w:tcPr>
            <w:tcW w:w="8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2 out</w:t>
            </w:r>
          </w:p>
        </w:tc>
        <w:tc>
          <w:tcPr>
            <w:tcW w:w="99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Aula 7. Agencia em teorias organizacionais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DiMaggio, Paul. 1977. “Interest and Agency in Institutional Theory.” In  Lynne G. Zucker, org,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Institutional Patterns and Organizations: Culture and Environment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, Cambridge, MA: Ballinger Publishing Company, 3–32.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Lawrence, Thomas B., Roy Suddaby, Bernard Leca.. 2009 “Introduction: Theorizing and Studying Institutional Work.”, In Thomas B Lawrence, Roy Suddaby, and Bernard Leca, orgs.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Institutional Work: Actors and Agency in Institutional Studies of Organizations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, edited by Cambridge: Cambridge University Press, 1-27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M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aguire, Steve, Cynthia Hardy, Thomas B. Lawrence. 2004. “Institutional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Entrepreneurship in Emerging Fields: HIV/AIDS Treatment Advocacy in Canada.” </w:t>
            </w:r>
            <w:r>
              <w:rPr>
                <w:rFonts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The Academy of Management Journal</w:t>
            </w: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 xml:space="preserve"> 47 (5): 657–79.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cstheme="minorHAnsi" w:ascii="Garamond" w:hAnsi="Garamond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u w:val="single"/>
                <w:lang w:val="en-US"/>
              </w:rPr>
              <w:t>Leitura Complementar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: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Battilana, Julie &amp; D’Aunno, Thomas, 2009. “Institutional Work and the Paradox of Embedded Agency” In Thomas B Lawrence, Roy Suddaby, and Bernard Leca, orgs.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Institutional Work: Actors and Agency in Institutional Studies of Organizations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, edited by Cambridge: Cambridge University Press, 28-58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 xml:space="preserve">Czarniawska, Barbara, 2009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/>
              </w:rPr>
              <w:t>A Theory of Organizing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>. Edward Elgar.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Cloutier, C., &amp; Langley, A., 2013. The Logic of Institutional Logics: Insights From French Pragmatist Sociology. Journal of Management Inquiry, 22(4), 360–380. 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10773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 xml:space="preserve">Módulo 3: Ação em teorias de movimentos sociais </w:t>
            </w:r>
          </w:p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9 out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Aula 8. Introdução as Teorias de ação coletiva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lang w:val="en-US"/>
              </w:rPr>
            </w:pPr>
            <w:r>
              <w:rPr>
                <w:rFonts w:cs="Calibri" w:ascii="Garamond" w:hAnsi="Garamond"/>
                <w:sz w:val="24"/>
                <w:szCs w:val="24"/>
              </w:rPr>
              <w:t xml:space="preserve">Olson, Mancur, 1999. A Lógica da Ação Coletiva: os benefícios públicos e uma teoria dos grupos sociais. </w:t>
            </w:r>
            <w:r>
              <w:rPr>
                <w:rFonts w:cs="Calibri" w:ascii="Garamond" w:hAnsi="Garamond"/>
                <w:sz w:val="24"/>
                <w:szCs w:val="24"/>
                <w:lang w:val="en-US"/>
              </w:rPr>
              <w:t xml:space="preserve">São Paulo: EDUSP, 17-34; 45-64.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highlight w:val="yellow"/>
              </w:rPr>
            </w:pPr>
            <w:r>
              <w:rPr>
                <w:rFonts w:cs="Calibri" w:ascii="Garamond" w:hAnsi="Garamond"/>
                <w:sz w:val="24"/>
                <w:szCs w:val="24"/>
                <w:lang w:val="en-US"/>
              </w:rPr>
              <w:t xml:space="preserve">Melucci, Alberto, 1989. ‘Collective Action: a Constructivist view”. Nomads of the Present: Social Movements and Individual Needs in Contemporary Society. </w:t>
            </w:r>
            <w:r>
              <w:rPr>
                <w:rFonts w:cs="Calibri" w:ascii="Garamond" w:hAnsi="Garamond"/>
                <w:sz w:val="24"/>
                <w:szCs w:val="24"/>
              </w:rPr>
              <w:t>Philadelphia, Temple University Press, 17-37</w:t>
            </w:r>
            <w:r>
              <w:rPr>
                <w:rFonts w:cs="Calibri" w:ascii="Garamond" w:hAnsi="Garamond"/>
                <w:sz w:val="24"/>
                <w:szCs w:val="24"/>
                <w:highlight w:val="yellow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cs="Calibri" w:ascii="Garamond" w:hAnsi="Garamond"/>
                <w:sz w:val="24"/>
                <w:szCs w:val="24"/>
              </w:rPr>
              <w:t xml:space="preserve">Tarrow, Sidney, 2009[1998]. “Confronto Político e movimentos sociais”. </w:t>
            </w:r>
            <w:r>
              <w:rPr>
                <w:rFonts w:cs="Calibri" w:ascii="Garamond" w:hAnsi="Garamond"/>
                <w:i/>
                <w:iCs/>
                <w:sz w:val="24"/>
                <w:szCs w:val="24"/>
              </w:rPr>
              <w:t xml:space="preserve"> O Poder em Movimento: Movimentos Sociais e confronto político</w:t>
            </w:r>
            <w:r>
              <w:rPr>
                <w:rFonts w:cs="Calibri" w:ascii="Garamond" w:hAnsi="Garamond"/>
                <w:sz w:val="24"/>
                <w:szCs w:val="24"/>
              </w:rPr>
              <w:t xml:space="preserve">, Petrópolis, Editora Vozes, 27-46.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cs="Calibri" w:ascii="Garamond" w:hAnsi="Garamond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u w:val="single"/>
              </w:rPr>
            </w:pPr>
            <w:r>
              <w:rPr>
                <w:rFonts w:cs="Calibri" w:ascii="Garamond" w:hAnsi="Garamond"/>
                <w:sz w:val="24"/>
                <w:szCs w:val="24"/>
                <w:u w:val="single"/>
              </w:rPr>
              <w:t>Leitura complementar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cs="Calibri" w:ascii="Garamond" w:hAnsi="Garamond"/>
                <w:sz w:val="24"/>
                <w:szCs w:val="24"/>
                <w:lang w:val="en-US"/>
              </w:rPr>
              <w:t xml:space="preserve">Tilly, Charles, 1978. “Interests, Organization and Mobilization”.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/>
              </w:rPr>
              <w:t>From Mobilization to Revolution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>. Reading MA,: Addison-Wesley Pub. Co., 52-97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cs="Calibri" w:ascii="Garamond" w:hAnsi="Garamond"/>
                <w:sz w:val="24"/>
                <w:szCs w:val="24"/>
                <w:lang w:val="en-US"/>
              </w:rPr>
              <w:t xml:space="preserve">Abers, Rebecca N., and Marisa von Bülow. </w:t>
            </w:r>
            <w:r>
              <w:rPr>
                <w:rFonts w:cs="Calibri" w:ascii="Garamond" w:hAnsi="Garamond"/>
                <w:sz w:val="24"/>
                <w:szCs w:val="24"/>
              </w:rPr>
              <w:t xml:space="preserve">2011. “Movimentos Sociais Na Teoria E Na Prática: Como Estudar O Ativismo Através Da Fronteira Entre Estado E Sociedade?” Sociologias 13 (28): 52–84.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Alonso, Angela. “As teorias dos movimentos sociais: um balanço do debate”. 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Lua Nova: Revista de Cultura e Política</w:t>
            </w:r>
            <w:r>
              <w:rPr>
                <w:rFonts w:ascii="Garamond" w:hAnsi="Garamond"/>
                <w:sz w:val="24"/>
                <w:szCs w:val="24"/>
              </w:rPr>
              <w:t>, n</w:t>
            </w:r>
            <w:r>
              <w:rPr>
                <w:rFonts w:ascii="Garamond" w:hAnsi="Garamond"/>
                <w:sz w:val="24"/>
                <w:szCs w:val="24"/>
                <w:vertAlign w:val="superscript"/>
              </w:rPr>
              <w:t>o</w:t>
            </w:r>
            <w:r>
              <w:rPr>
                <w:rFonts w:ascii="Garamond" w:hAnsi="Garamond"/>
                <w:sz w:val="24"/>
                <w:szCs w:val="24"/>
              </w:rPr>
              <w:t xml:space="preserve"> 76 (2009): 49–86.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16 out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 xml:space="preserve">Aula 9. O debate sobre agência e estrutura na literatura de movimentos sociais.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lang w:val="en-US"/>
              </w:rPr>
            </w:pPr>
            <w:r>
              <w:rPr>
                <w:rFonts w:cs="Calibri" w:ascii="Garamond" w:hAnsi="Garamond"/>
                <w:sz w:val="24"/>
                <w:szCs w:val="24"/>
                <w:lang w:val="en-US"/>
              </w:rPr>
              <w:t>Tilly, Charles. 2006. “Repertoires of Contention”, IN:  Regimes and Repertoires. University of Chicago Press,30-59.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lang w:val="en-US"/>
              </w:rPr>
            </w:pPr>
            <w:r>
              <w:rPr>
                <w:rFonts w:cs="Calibri" w:ascii="Garamond" w:hAnsi="Garamond"/>
                <w:sz w:val="24"/>
                <w:szCs w:val="24"/>
                <w:lang w:val="en-US"/>
              </w:rPr>
              <w:t>Jasper, James M., 2012. “Introduction: From Political Opportunity Structures to Strategic Interaction.” In Jeff Goodwin e James M. Jasper (orgs), Contention in Context: Political Opportunities and the Emergence of Protest, Stanford, California: Stanford University Press, 1–36.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 xml:space="preserve">Gross, Neil. “Charles tilly and American pragmatism”.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eastAsia="pt-BR"/>
              </w:rPr>
              <w:t>The American Sociologist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eastAsia="pt-BR"/>
              </w:rPr>
              <w:t xml:space="preserve"> 41, n</w:t>
            </w:r>
            <w:r>
              <w:rPr>
                <w:rFonts w:eastAsia="Times New Roman" w:cs="Times New Roman" w:ascii="Garamond" w:hAnsi="Garamond"/>
                <w:sz w:val="24"/>
                <w:szCs w:val="24"/>
                <w:vertAlign w:val="superscript"/>
                <w:lang w:eastAsia="pt-BR"/>
              </w:rPr>
              <w:t>o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eastAsia="pt-BR"/>
              </w:rPr>
              <w:t xml:space="preserve"> 4 (2010): 337–357.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cs="Calibri" w:ascii="Garamond" w:hAnsi="Garamond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u w:val="single"/>
              </w:rPr>
            </w:pPr>
            <w:r>
              <w:rPr>
                <w:rFonts w:cs="Calibri" w:ascii="Garamond" w:hAnsi="Garamond"/>
                <w:sz w:val="24"/>
                <w:szCs w:val="24"/>
                <w:u w:val="single"/>
              </w:rPr>
              <w:t>Leitura Complementar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cs="Calibri" w:ascii="Garamond" w:hAnsi="Garamond"/>
                <w:sz w:val="24"/>
                <w:szCs w:val="24"/>
              </w:rPr>
              <w:t xml:space="preserve">Sidney Tarrow, 2009[1998], “Capítulo 5: Oportunidades e Restrições Políticas” </w:t>
            </w:r>
            <w:r>
              <w:rPr>
                <w:rFonts w:cs="Calibri" w:ascii="Garamond" w:hAnsi="Garamond"/>
                <w:i/>
                <w:iCs/>
                <w:sz w:val="24"/>
                <w:szCs w:val="24"/>
              </w:rPr>
              <w:t>O Poder em Movimento: Movimentos Sociais e confronto político</w:t>
            </w:r>
            <w:r>
              <w:rPr>
                <w:rFonts w:cs="Calibri" w:ascii="Garamond" w:hAnsi="Garamond"/>
                <w:sz w:val="24"/>
                <w:szCs w:val="24"/>
              </w:rPr>
              <w:t xml:space="preserve">, Petrópolis, Editora Vozes, 99-121.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>McAdam, Doug, 1996.. “Conceptual Origins, Current Problems, Future Directions”. In  Doug McAdam, John D. McCarthy, e Mayer N. Zald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 w:eastAsia="pt-BR"/>
              </w:rPr>
              <w:t xml:space="preserve">  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>(orgs),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 w:eastAsia="pt-BR"/>
              </w:rPr>
              <w:t xml:space="preserve"> Comparative Perspectives on Social Movements: Political Opportunities, Mobilizing Structures, and Cultural Framings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 xml:space="preserve">, Cambridge University Press, 23–40.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>Tarrow, Sidney. 1996 “States and opportunities: The political structuring of social movements”. ”. In  Doug McAdam, John D. McCarthy, e Mayer N. Zald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 w:eastAsia="pt-BR"/>
              </w:rPr>
              <w:t xml:space="preserve">  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>(orgs),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 w:eastAsia="pt-BR"/>
              </w:rPr>
              <w:t xml:space="preserve"> Comparative Perspectives on Social Movements: Political Opportunities, Mobilizing Structures, and Cultural Framings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 xml:space="preserve">, Cambridge University Press 41–61.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lang w:val="en-US"/>
              </w:rPr>
            </w:pPr>
            <w:r>
              <w:rPr>
                <w:rFonts w:cs="Calibri" w:ascii="Garamond" w:hAnsi="Garamond"/>
                <w:sz w:val="24"/>
                <w:szCs w:val="24"/>
                <w:lang w:val="en-US"/>
              </w:rPr>
              <w:t xml:space="preserve">Goodwin, Jeff e James Jasper. 1999. “Caught in a Winding, Snarling Vine: The Structural Bias of Political Process Theory”, </w:t>
            </w:r>
            <w:r>
              <w:rPr>
                <w:rFonts w:cs="Calibri" w:ascii="Garamond" w:hAnsi="Garamond"/>
                <w:i/>
                <w:sz w:val="24"/>
                <w:szCs w:val="24"/>
                <w:lang w:val="en-US"/>
              </w:rPr>
              <w:t>Sociological Forum</w:t>
            </w:r>
            <w:r>
              <w:rPr>
                <w:rFonts w:cs="Calibri" w:ascii="Garamond" w:hAnsi="Garamond"/>
                <w:sz w:val="24"/>
                <w:szCs w:val="24"/>
                <w:lang w:val="en-US"/>
              </w:rPr>
              <w:t xml:space="preserve"> 14(1):  27-54.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Amenta, Edwin, and Halfmann, Drew. 2012. “Opportunity Knocks: The Trouble with Political Opportunity and What You Can Do about It.” In </w:t>
            </w:r>
            <w:r>
              <w:rPr>
                <w:rFonts w:cs="Calibri" w:ascii="Garamond" w:hAnsi="Garamond"/>
                <w:sz w:val="24"/>
                <w:szCs w:val="24"/>
                <w:lang w:val="en-US"/>
              </w:rPr>
              <w:t xml:space="preserve"> In Jeff Goodwin e James M. Jasper (orgs), Contention in Context: Political Opportunities and the Emergence of Protest, Stanford, California: Stanford University Press, ,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227–39.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Jasper, James. “A Strategic Approach to Collective Action: Looking for Agency in Social-Movement Choices.” Mobilization: An International Quarterly 9, no. 1 (February 1, 2004): 1–16.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Abers, Rebecca, Marcelo Kunrath Silva, and Luciana Tatagiba. </w:t>
            </w:r>
            <w:r>
              <w:rPr>
                <w:rFonts w:ascii="Garamond" w:hAnsi="Garamond"/>
                <w:sz w:val="24"/>
                <w:szCs w:val="24"/>
              </w:rPr>
              <w:t xml:space="preserve">“Movimentos Sociais e Políticas Públicas: Repensando Atores e Oportunidades Políticas.”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Lua Nova, no. 105 (2018): 15–46.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23 out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 xml:space="preserve">Aula 10. Construindo identidades coletivas e enquadramentos de mobilização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/>
                <w:sz w:val="24"/>
                <w:szCs w:val="24"/>
                <w:lang w:val="en-US"/>
              </w:rPr>
            </w:pPr>
            <w:r>
              <w:rPr>
                <w:rFonts w:cs="Calibri" w:ascii="Garamond" w:hAnsi="Garamond"/>
                <w:sz w:val="24"/>
                <w:szCs w:val="24"/>
                <w:lang w:val="en-US"/>
              </w:rPr>
              <w:t>Benford, Robert D. &amp; Snow, David A., 2000. Framing Processes and Social Movements: An Overview and Assessment. Annual Review of Sociology, 26, 611-39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 xml:space="preserve">Melucci, Alberto. 1996. “The Process of Collective Identity”.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 w:eastAsia="pt-BR"/>
              </w:rPr>
              <w:t>Challenging Codes: Collective Action in the Information Age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 w:eastAsia="pt-BR"/>
              </w:rPr>
              <w:t>. Cambridge University Press, 68-86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Mische, Ann. 2009. “Leadership in the Intersections”.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Partisan Publics: Communication and Contention across Brazilian Youth Activist Networks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. Princeton: Princeton University Press, 35-55.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u w:val="single"/>
                <w:lang w:val="en-US"/>
              </w:rPr>
            </w:pPr>
            <w:r>
              <w:rPr>
                <w:rFonts w:eastAsia="Times New Roman" w:cs="Calibri" w:cstheme="minorHAnsi" w:ascii="Garamond" w:hAnsi="Garamond"/>
                <w:sz w:val="24"/>
                <w:szCs w:val="24"/>
                <w:u w:val="single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u w:val="single"/>
                <w:lang w:val="en-US"/>
              </w:rPr>
              <w:t>Leitura complementar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: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Gamson, William A. 1991. “Commitment and Agency in Social Movements.” In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Sociological Forum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, 6:27–50. Springer.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Hirsch, Eric L. 1990. “Sacrifice for the Cause: Group Processes, Recruitment, and Commitment in a Student Social Movement.”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American Sociological Review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, 243–54.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Polleta, Francesca and James Jasper.  2001.  "Collective Identity and Social Movements."  </w:t>
            </w:r>
            <w:r>
              <w:rPr>
                <w:rFonts w:ascii="Garamond" w:hAnsi="Garamond"/>
                <w:i/>
                <w:sz w:val="24"/>
                <w:szCs w:val="24"/>
                <w:lang w:val="en-US"/>
              </w:rPr>
              <w:t>Annual Review of Sociology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27:283-305</w:t>
            </w:r>
          </w:p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30 out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Não haverá aula – professora em missão de trabalho no exterior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6 nov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****Entregar resumo do artigo</w:t>
            </w:r>
          </w:p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Aula 11. Compromisso e engajamento militante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Sawicki, Frédéric, and Johanna Siméant. 2011. “Inventário Da Sociologia Do Engajamento Militante. Nota Crítica Sobre Algumas Tendências Recentes Dos Trabalhos Franceses.”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</w:rPr>
              <w:t>Sociologias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 13(28): 200–255.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</w:rPr>
              <w:t xml:space="preserve">Silva, Marcelo Kunrath, and Bianca de Oliveira Ruskowski, 2016. “Condições e Mecanismos Do Engajamento Militante: Um Modelo de Análise.”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/>
              </w:rPr>
              <w:t>Revista Brasileira de Ciência Política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>, 21:87–226.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Fillieule, Olivier. 2010. “Some Elements of an Interactionist Approach to Political Disengagement.”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Social Movement Studies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 9(1):1–15.</w:t>
            </w:r>
          </w:p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cstheme="minorHAnsi" w:ascii="Garamond" w:hAnsi="Garamond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  <w:lang w:val="en-US"/>
              </w:rPr>
            </w:pPr>
            <w:r>
              <w:rPr>
                <w:rFonts w:cs="Calibri" w:ascii="Garamond" w:hAnsi="Garamond" w:cstheme="minorHAnsi"/>
                <w:sz w:val="24"/>
                <w:szCs w:val="24"/>
                <w:lang w:val="en-US"/>
              </w:rPr>
              <w:t>13 nov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Aula 12. Tentativas de síntese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</w:rPr>
              <w:t xml:space="preserve">Fligstein, Neil, and Doug McAdam. 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 xml:space="preserve">2012. “The Gist of It”.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  <w:lang w:val="en-US"/>
              </w:rPr>
              <w:t>A Theory of Fields</w:t>
            </w:r>
            <w:r>
              <w:rPr>
                <w:rFonts w:eastAsia="Times New Roman" w:cs="Times New Roman" w:ascii="Garamond" w:hAnsi="Garamond"/>
                <w:sz w:val="24"/>
                <w:szCs w:val="24"/>
                <w:lang w:val="en-US"/>
              </w:rPr>
              <w:t xml:space="preserve">. New York: Oxford University Press, 3-33.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Garamond" w:hAnsi="Garamond"/>
                <w:sz w:val="24"/>
                <w:szCs w:val="24"/>
              </w:rPr>
              <w:t xml:space="preserve">Cefaï, Daniel, 2009 “Como Nos Mobilizamos? A Contribuição de Uma Abordagem Pragmatista Para a Sociologia Da Ação Coletiva.” </w:t>
            </w:r>
            <w:r>
              <w:rPr>
                <w:rFonts w:eastAsia="Times New Roman" w:cs="Times New Roman" w:ascii="Garamond" w:hAnsi="Garamond"/>
                <w:i/>
                <w:iCs/>
                <w:sz w:val="24"/>
                <w:szCs w:val="24"/>
              </w:rPr>
              <w:t>Dilemas: Revista de Estudos de Conflito e Controle Social</w:t>
            </w:r>
            <w:r>
              <w:rPr>
                <w:rFonts w:eastAsia="Times New Roman" w:cs="Times New Roman" w:ascii="Garamond" w:hAnsi="Garamond"/>
                <w:sz w:val="24"/>
                <w:szCs w:val="24"/>
              </w:rPr>
              <w:t xml:space="preserve">  2(4): 11–48.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Cs/>
                <w:sz w:val="24"/>
                <w:szCs w:val="24"/>
              </w:rPr>
              <w:t>Abers, Rebecca Neaera. No prelo. “</w:t>
            </w:r>
            <w:r>
              <w:rPr>
                <w:rFonts w:cs="Times New Roman" w:ascii="Garamond" w:hAnsi="Garamond"/>
                <w:bCs/>
                <w:iCs/>
                <w:sz w:val="24"/>
                <w:szCs w:val="24"/>
              </w:rPr>
              <w:t>Ação criativa, ativismo e lutas no interior do Estado”</w:t>
            </w:r>
            <w:r>
              <w:rPr>
                <w:rFonts w:cs="Times New Roman" w:ascii="Garamond" w:hAnsi="Garamond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cs="Times New Roman" w:ascii="Garamond" w:hAnsi="Garamond"/>
                <w:bCs/>
                <w:iCs/>
                <w:sz w:val="24"/>
                <w:szCs w:val="24"/>
              </w:rPr>
              <w:t xml:space="preserve"> In: Abers, Rebecca Neaera, (org.)</w:t>
            </w:r>
            <w:r>
              <w:rPr>
                <w:rFonts w:cs="Times New Roman" w:ascii="Garamond" w:hAnsi="Garamond"/>
                <w:bCs/>
                <w:i/>
                <w:sz w:val="24"/>
                <w:szCs w:val="24"/>
              </w:rPr>
              <w:t xml:space="preserve"> A</w:t>
            </w:r>
            <w:r>
              <w:rPr>
                <w:rFonts w:cs="Times New Roman" w:ascii="Garamond" w:hAnsi="Garamond"/>
                <w:bCs/>
                <w:i/>
                <w:iCs/>
                <w:sz w:val="24"/>
                <w:szCs w:val="24"/>
              </w:rPr>
              <w:t xml:space="preserve">tivismo institucional: Criatividade e luta na burocracia brasileira. 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i/>
                <w:i/>
                <w:iCs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i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Leitura complementar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</w:rPr>
              <w:t xml:space="preserve">Fligstein, Neil. 2001.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“Social Skill and the Theory of Fields.”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Sociological Theory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 19 (2): 105–25.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GB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Schneiberg, Marc, and Lounsbury, Michael. 2008. “Social Movements and Institutional Analysis.” In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The Sage Handbook of Organizational Institutionalism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, edited by Greenwood,, Royston, Oliver, Christine, Suddaby, Roy, and Sahlin-Andersson, Kerstin, 648–70. 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GB"/>
              </w:rPr>
              <w:t>Thousand Oaks, CA: Sage.</w:t>
            </w:r>
          </w:p>
          <w:p>
            <w:pPr>
              <w:pStyle w:val="Normal"/>
              <w:spacing w:lineRule="auto" w:line="240" w:before="0" w:after="0"/>
              <w:ind w:left="720" w:hanging="720"/>
              <w:rPr>
                <w:rFonts w:ascii="Garamond" w:hAnsi="Garamond" w:eastAsia="Times New Roman" w:cs="Calibri" w:cstheme="minorHAnsi"/>
                <w:sz w:val="24"/>
                <w:szCs w:val="24"/>
                <w:lang w:val="en-US"/>
              </w:rPr>
            </w:pP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 xml:space="preserve">McAdam, Doug, and W. Richard Scott. 2005. “Organizations and Movements.” In </w:t>
            </w:r>
            <w:r>
              <w:rPr>
                <w:rFonts w:eastAsia="Times New Roman" w:cs="Calibri" w:ascii="Garamond" w:hAnsi="Garamond" w:cstheme="minorHAnsi"/>
                <w:i/>
                <w:iCs/>
                <w:sz w:val="24"/>
                <w:szCs w:val="24"/>
                <w:lang w:val="en-US"/>
              </w:rPr>
              <w:t>Social Movements and Organization Theory</w:t>
            </w:r>
            <w:r>
              <w:rPr>
                <w:rFonts w:eastAsia="Times New Roman" w:cs="Calibri" w:ascii="Garamond" w:hAnsi="Garamond" w:cstheme="minorHAnsi"/>
                <w:sz w:val="24"/>
                <w:szCs w:val="24"/>
                <w:lang w:val="en-US"/>
              </w:rPr>
              <w:t>, edited by Gerald F. Davis, Doug McAdam, W. Richard Scott, and Mayer N. Zald, 4–40. New York: Cambridge University Press.</w:t>
            </w:r>
          </w:p>
          <w:p>
            <w:pPr>
              <w:pStyle w:val="Normal"/>
              <w:spacing w:lineRule="auto" w:line="240" w:before="0" w:after="0"/>
              <w:ind w:hanging="72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cstheme="minorHAnsi" w:ascii="Garamond" w:hAnsi="Garamond"/>
                <w:b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20 nov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Aula 13. Apresentações das(os) alunas(os)</w:t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27 nov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>Aula 14.  Apresentações das(os) alunas(os)</w:t>
            </w:r>
          </w:p>
        </w:tc>
      </w:tr>
      <w:tr>
        <w:trPr/>
        <w:tc>
          <w:tcPr>
            <w:tcW w:w="8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sz w:val="24"/>
                <w:szCs w:val="24"/>
              </w:rPr>
              <w:t>4 dez</w:t>
            </w:r>
          </w:p>
        </w:tc>
        <w:tc>
          <w:tcPr>
            <w:tcW w:w="995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Garamond" w:hAnsi="Garamond" w:cs="Calibri" w:cstheme="minorHAnsi"/>
                <w:b/>
                <w:b/>
                <w:sz w:val="24"/>
                <w:szCs w:val="24"/>
              </w:rPr>
            </w:pPr>
            <w:r>
              <w:rPr>
                <w:rFonts w:cs="Calibri" w:ascii="Garamond" w:hAnsi="Garamond" w:cstheme="minorHAnsi"/>
                <w:b/>
                <w:sz w:val="24"/>
                <w:szCs w:val="24"/>
              </w:rPr>
              <w:t xml:space="preserve">Aula 15. Entregar o artigo final e encerramento da disciplina. </w:t>
            </w:r>
          </w:p>
        </w:tc>
      </w:tr>
    </w:tbl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lineRule="auto" w:line="240" w:before="0" w:after="0"/>
        <w:rPr>
          <w:rFonts w:ascii="Garamond" w:hAnsi="Garamond" w:cs="Calibri" w:cstheme="minorHAnsi"/>
          <w:b/>
          <w:b/>
          <w:sz w:val="24"/>
          <w:szCs w:val="24"/>
        </w:rPr>
      </w:pPr>
      <w:r>
        <w:rPr>
          <w:rFonts w:cs="Calibri" w:cstheme="minorHAnsi" w:ascii="Garamond" w:hAnsi="Garamond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Garamond" w:hAnsi="Garamond" w:cs="Calibri" w:cstheme="minorHAnsi"/>
          <w:sz w:val="24"/>
          <w:szCs w:val="24"/>
        </w:rPr>
      </w:pPr>
      <w:r>
        <w:rPr>
          <w:rFonts w:cs="Calibri" w:cstheme="minorHAnsi" w:ascii="Garamond" w:hAnsi="Garamond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3"/>
      <w:type w:val="nextPage"/>
      <w:pgSz w:w="12240" w:h="15840"/>
      <w:pgMar w:left="720" w:right="720" w:header="720" w:top="777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Garamond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>
        <w:smallCaps/>
      </w:rPr>
      <w:t>Criatividade Política</w:t>
      <w:tab/>
      <w:tab/>
      <w:t xml:space="preserve">Pag. </w:t>
    </w:r>
    <w:r>
      <w:rPr>
        <w:smallCaps/>
      </w:rPr>
      <w:fldChar w:fldCharType="begin"/>
    </w:r>
    <w:r>
      <w:rPr>
        <w:smallCaps/>
      </w:rPr>
      <w:instrText> PAGE </w:instrText>
    </w:r>
    <w:r>
      <w:rPr>
        <w:smallCaps/>
      </w:rPr>
      <w:fldChar w:fldCharType="separate"/>
    </w:r>
    <w:r>
      <w:rPr>
        <w:smallCaps/>
      </w:rPr>
      <w:t>7</w:t>
    </w:r>
    <w:r>
      <w:rPr>
        <w:smallCaps/>
      </w:rPr>
      <w:fldChar w:fldCharType="end"/>
    </w:r>
    <w:r>
      <w:rPr>
        <w:smallCaps/>
      </w:rPr>
      <w:t xml:space="preserve"> de 7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e7c2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015854"/>
    <w:rPr>
      <w:lang w:val="pt-BR"/>
    </w:rPr>
  </w:style>
  <w:style w:type="character" w:styleId="RodapChar" w:customStyle="1">
    <w:name w:val="Rodapé Char"/>
    <w:basedOn w:val="DefaultParagraphFont"/>
    <w:link w:val="Rodap"/>
    <w:uiPriority w:val="99"/>
    <w:qFormat/>
    <w:rsid w:val="00015854"/>
    <w:rPr>
      <w:lang w:val="pt-BR"/>
    </w:rPr>
  </w:style>
  <w:style w:type="character" w:styleId="LinkdaInternet">
    <w:name w:val="Link da Internet"/>
    <w:basedOn w:val="DefaultParagraphFont"/>
    <w:uiPriority w:val="99"/>
    <w:unhideWhenUsed/>
    <w:rsid w:val="00015854"/>
    <w:rPr>
      <w:color w:val="0563C1" w:themeColor="hyperlink"/>
      <w:u w:val="single"/>
    </w:rPr>
  </w:style>
  <w:style w:type="character" w:styleId="Go" w:customStyle="1">
    <w:name w:val="go"/>
    <w:qFormat/>
    <w:rsid w:val="00015854"/>
    <w:rPr>
      <w:color w:val="000000"/>
      <w:sz w:val="20"/>
    </w:rPr>
  </w:style>
  <w:style w:type="character" w:styleId="Hccdpe" w:customStyle="1">
    <w:name w:val="hccdpe"/>
    <w:qFormat/>
    <w:rsid w:val="00015854"/>
    <w:rPr>
      <w:color w:val="000000"/>
      <w:sz w:val="20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c8734f"/>
    <w:rPr>
      <w:rFonts w:ascii="Segoe UI" w:hAnsi="Segoe UI" w:cs="Segoe UI"/>
      <w:sz w:val="18"/>
      <w:szCs w:val="18"/>
      <w:lang w:val="pt-BR"/>
    </w:rPr>
  </w:style>
  <w:style w:type="character" w:styleId="Strong">
    <w:name w:val="Strong"/>
    <w:basedOn w:val="DefaultParagraphFont"/>
    <w:uiPriority w:val="99"/>
    <w:qFormat/>
    <w:rsid w:val="005e1df8"/>
    <w:rPr>
      <w:b/>
      <w:b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a75e5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ca75e5"/>
    <w:rPr>
      <w:sz w:val="20"/>
      <w:szCs w:val="20"/>
      <w:lang w:val="pt-BR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ca75e5"/>
    <w:rPr>
      <w:b/>
      <w:bCs/>
      <w:sz w:val="20"/>
      <w:szCs w:val="20"/>
      <w:lang w:val="pt-BR"/>
    </w:rPr>
  </w:style>
  <w:style w:type="character" w:styleId="ListLabel1">
    <w:name w:val="ListLabel 1"/>
    <w:qFormat/>
    <w:rPr>
      <w:rFonts w:eastAsia="Calibri" w:cs="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Calibri" w:cs="Calibri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ascii="Garamond" w:hAnsi="Garamond" w:cs="Calibri" w:cstheme="minorHAnsi"/>
      <w:sz w:val="24"/>
      <w:szCs w:val="24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99"/>
    <w:qFormat/>
    <w:rsid w:val="00194c89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015854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015854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8734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ca75e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ca75e5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94c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becca.abers@gmail.com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1260B-99AB-4BC7-B63E-77FADFFC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Application>LibreOffice/6.0.7.3$Linux_X86_64 LibreOffice_project/00m0$Build-3</Application>
  <Pages>7</Pages>
  <Words>2324</Words>
  <Characters>14014</Characters>
  <CharactersWithSpaces>16250</CharactersWithSpaces>
  <Paragraphs>138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2019-08-05T21:14:00Z</dcterms:created>
  <dc:creator>rebecca a</dc:creator>
  <dc:description/>
  <dc:language>pt-BR</dc:language>
  <cp:lastModifiedBy/>
  <cp:lastPrinted>2015-02-18T17:33:00Z</cp:lastPrinted>
  <dcterms:modified xsi:type="dcterms:W3CDTF">2020-04-01T13:44:29Z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